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B1" w:rsidRDefault="00B735B1" w:rsidP="00885DDF">
      <w:pPr>
        <w:spacing w:line="240" w:lineRule="auto"/>
        <w:jc w:val="center"/>
        <w:rPr>
          <w:b/>
          <w:u w:val="single"/>
        </w:rPr>
      </w:pPr>
      <w:r>
        <w:rPr>
          <w:b/>
          <w:u w:val="single"/>
        </w:rPr>
        <w:t>GR</w:t>
      </w:r>
      <w:r w:rsidRPr="00B735B1">
        <w:rPr>
          <w:b/>
          <w:u w:val="single"/>
        </w:rPr>
        <w:t xml:space="preserve"> 42</w:t>
      </w:r>
    </w:p>
    <w:p w:rsidR="00885DDF" w:rsidRPr="00B735B1" w:rsidRDefault="00885DDF" w:rsidP="00885DDF">
      <w:pPr>
        <w:spacing w:line="240" w:lineRule="auto"/>
        <w:jc w:val="center"/>
        <w:rPr>
          <w:b/>
          <w:u w:val="single"/>
        </w:rPr>
      </w:pPr>
    </w:p>
    <w:p w:rsidR="00B735B1" w:rsidRPr="00B735B1" w:rsidRDefault="00B735B1" w:rsidP="00885DDF">
      <w:pPr>
        <w:spacing w:line="240" w:lineRule="auto"/>
        <w:jc w:val="center"/>
        <w:rPr>
          <w:u w:val="single"/>
        </w:rPr>
      </w:pPr>
      <w:r w:rsidRPr="00B735B1">
        <w:rPr>
          <w:u w:val="single"/>
        </w:rPr>
        <w:t>[NEW]</w:t>
      </w:r>
    </w:p>
    <w:p w:rsidR="00B735B1" w:rsidRPr="00B735B1" w:rsidRDefault="00B735B1" w:rsidP="00885DDF">
      <w:pPr>
        <w:spacing w:line="240" w:lineRule="auto"/>
        <w:jc w:val="center"/>
        <w:rPr>
          <w:b/>
          <w:u w:val="single"/>
        </w:rPr>
      </w:pPr>
    </w:p>
    <w:p w:rsidR="00B735B1" w:rsidRPr="00B735B1" w:rsidRDefault="00B735B1" w:rsidP="00885DDF">
      <w:pPr>
        <w:pStyle w:val="ListParagraph"/>
        <w:spacing w:line="240" w:lineRule="auto"/>
        <w:ind w:left="0" w:firstLine="0"/>
        <w:jc w:val="center"/>
        <w:rPr>
          <w:rFonts w:ascii="Times New Roman" w:hAnsi="Times New Roman"/>
          <w:b/>
          <w:sz w:val="24"/>
          <w:szCs w:val="24"/>
          <w:u w:val="single"/>
        </w:rPr>
      </w:pPr>
      <w:r w:rsidRPr="00B735B1">
        <w:rPr>
          <w:rFonts w:ascii="Times New Roman" w:hAnsi="Times New Roman"/>
          <w:b/>
          <w:sz w:val="24"/>
          <w:szCs w:val="24"/>
          <w:u w:val="single"/>
        </w:rPr>
        <w:t xml:space="preserve">INDEPENDENCE OF PUBLIC DEFENSE SERVICES </w:t>
      </w:r>
    </w:p>
    <w:p w:rsidR="00B735B1" w:rsidRDefault="00B735B1" w:rsidP="00885DDF">
      <w:pPr>
        <w:pStyle w:val="ListParagraph"/>
        <w:spacing w:line="240" w:lineRule="auto"/>
        <w:ind w:left="0" w:firstLine="0"/>
        <w:jc w:val="center"/>
        <w:rPr>
          <w:rFonts w:ascii="Times New Roman" w:hAnsi="Times New Roman"/>
          <w:sz w:val="24"/>
          <w:szCs w:val="24"/>
          <w:u w:val="single"/>
        </w:rPr>
      </w:pPr>
    </w:p>
    <w:p w:rsidR="00B735B1" w:rsidRPr="00B735B1" w:rsidRDefault="00B735B1"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b/>
          <w:bCs/>
          <w:sz w:val="24"/>
          <w:szCs w:val="24"/>
          <w:u w:val="single"/>
        </w:rPr>
        <w:t xml:space="preserve">(a) </w:t>
      </w:r>
      <w:r w:rsidRPr="00B735B1">
        <w:rPr>
          <w:rFonts w:ascii="Times New Roman" w:hAnsi="Times New Roman"/>
          <w:b/>
          <w:bCs/>
          <w:sz w:val="24"/>
          <w:szCs w:val="24"/>
          <w:u w:val="single"/>
        </w:rPr>
        <w:t>Purpose and policy</w:t>
      </w:r>
      <w:r w:rsidRPr="00B735B1">
        <w:rPr>
          <w:rFonts w:ascii="Times New Roman" w:hAnsi="Times New Roman"/>
          <w:b/>
          <w:sz w:val="24"/>
          <w:szCs w:val="24"/>
          <w:u w:val="single"/>
        </w:rPr>
        <w:t>.</w:t>
      </w:r>
      <w:r w:rsidRPr="00B735B1">
        <w:rPr>
          <w:rFonts w:ascii="Times New Roman" w:hAnsi="Times New Roman"/>
          <w:sz w:val="24"/>
          <w:szCs w:val="24"/>
          <w:u w:val="single"/>
        </w:rPr>
        <w:t xml:space="preserve"> The purpose of this rule is to safeguard the independence of public defense services from judicial influence or control. Consistent with the r</w:t>
      </w:r>
      <w:r>
        <w:rPr>
          <w:rFonts w:ascii="Times New Roman" w:hAnsi="Times New Roman"/>
          <w:sz w:val="24"/>
          <w:szCs w:val="24"/>
          <w:u w:val="single"/>
        </w:rPr>
        <w:t>ight to counsel as provided in article I, s</w:t>
      </w:r>
      <w:r w:rsidRPr="00B735B1">
        <w:rPr>
          <w:rFonts w:ascii="Times New Roman" w:hAnsi="Times New Roman"/>
          <w:sz w:val="24"/>
          <w:szCs w:val="24"/>
          <w:u w:val="single"/>
        </w:rPr>
        <w:t xml:space="preserve">ections 3 and 22 of the Washington State Constitution and </w:t>
      </w:r>
      <w:r w:rsidR="00683864">
        <w:rPr>
          <w:rFonts w:ascii="Times New Roman" w:hAnsi="Times New Roman"/>
          <w:sz w:val="24"/>
          <w:szCs w:val="24"/>
          <w:u w:val="single"/>
        </w:rPr>
        <w:t xml:space="preserve">in </w:t>
      </w:r>
      <w:r w:rsidRPr="00B735B1">
        <w:rPr>
          <w:rFonts w:ascii="Times New Roman" w:hAnsi="Times New Roman"/>
          <w:sz w:val="24"/>
          <w:szCs w:val="24"/>
          <w:u w:val="single"/>
        </w:rPr>
        <w:t xml:space="preserve">Washington statutes, it is the policy of the judiciary to develop rules that further the fair and efficient administration of justice. In promulgating this Rule, the Washington Supreme Court seeks to prevent conflicts of interest that may arise if judges control the selection of public defense administrators or the attorneys who provide public defense services, the management and oversight of public defense services, and the assignment of attorneys in individual cases. </w:t>
      </w:r>
    </w:p>
    <w:p w:rsidR="00B735B1" w:rsidRPr="00B735B1" w:rsidRDefault="00B735B1" w:rsidP="00885DDF">
      <w:pPr>
        <w:pStyle w:val="ListParagraph"/>
        <w:spacing w:line="240" w:lineRule="auto"/>
        <w:ind w:left="0"/>
        <w:rPr>
          <w:rFonts w:ascii="Times New Roman" w:hAnsi="Times New Roman"/>
          <w:sz w:val="24"/>
          <w:szCs w:val="24"/>
          <w:u w:val="single"/>
        </w:rPr>
      </w:pPr>
    </w:p>
    <w:p w:rsidR="00B735B1" w:rsidRPr="00B735B1" w:rsidRDefault="00683864" w:rsidP="00B05C5F">
      <w:pPr>
        <w:pStyle w:val="ListParagraph"/>
        <w:spacing w:after="160" w:line="259" w:lineRule="auto"/>
        <w:ind w:left="0" w:firstLine="720"/>
        <w:rPr>
          <w:rFonts w:ascii="Times New Roman" w:hAnsi="Times New Roman"/>
          <w:sz w:val="24"/>
          <w:szCs w:val="24"/>
          <w:u w:val="single"/>
        </w:rPr>
      </w:pPr>
      <w:r>
        <w:rPr>
          <w:rFonts w:ascii="Times New Roman" w:hAnsi="Times New Roman"/>
          <w:b/>
          <w:bCs/>
          <w:sz w:val="24"/>
          <w:szCs w:val="24"/>
          <w:u w:val="single"/>
        </w:rPr>
        <w:t xml:space="preserve">(b) </w:t>
      </w:r>
      <w:r w:rsidR="00B735B1" w:rsidRPr="00B735B1">
        <w:rPr>
          <w:rFonts w:ascii="Times New Roman" w:hAnsi="Times New Roman"/>
          <w:b/>
          <w:bCs/>
          <w:sz w:val="24"/>
          <w:szCs w:val="24"/>
          <w:u w:val="single"/>
        </w:rPr>
        <w:t>Scope.</w:t>
      </w:r>
      <w:r w:rsidR="00B735B1" w:rsidRPr="00B735B1">
        <w:rPr>
          <w:rFonts w:ascii="Times New Roman" w:hAnsi="Times New Roman"/>
          <w:sz w:val="24"/>
          <w:szCs w:val="24"/>
          <w:u w:val="single"/>
        </w:rPr>
        <w:t xml:space="preserve"> This rule applies to superior courts and courts of limited jurisdiction.</w:t>
      </w:r>
    </w:p>
    <w:p w:rsidR="00B735B1" w:rsidRPr="00B735B1" w:rsidRDefault="00B735B1" w:rsidP="00885DDF">
      <w:pPr>
        <w:pStyle w:val="ListParagraph"/>
        <w:spacing w:line="240" w:lineRule="auto"/>
        <w:ind w:left="0"/>
        <w:rPr>
          <w:rFonts w:ascii="Times New Roman" w:hAnsi="Times New Roman"/>
          <w:b/>
          <w:sz w:val="24"/>
          <w:szCs w:val="24"/>
          <w:u w:val="single"/>
        </w:rPr>
      </w:pPr>
    </w:p>
    <w:p w:rsidR="00B735B1" w:rsidRPr="00B735B1" w:rsidRDefault="00683864"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b/>
          <w:sz w:val="24"/>
          <w:szCs w:val="24"/>
          <w:u w:val="single"/>
        </w:rPr>
        <w:t>(c)</w:t>
      </w:r>
      <w:r w:rsidR="00B05C5F">
        <w:rPr>
          <w:rFonts w:ascii="Times New Roman" w:hAnsi="Times New Roman"/>
          <w:b/>
          <w:sz w:val="24"/>
          <w:szCs w:val="24"/>
          <w:u w:val="single"/>
        </w:rPr>
        <w:t xml:space="preserve"> </w:t>
      </w:r>
      <w:r w:rsidR="00B735B1" w:rsidRPr="00B735B1">
        <w:rPr>
          <w:rFonts w:ascii="Times New Roman" w:hAnsi="Times New Roman"/>
          <w:b/>
          <w:sz w:val="24"/>
          <w:szCs w:val="24"/>
          <w:u w:val="single"/>
        </w:rPr>
        <w:t>Selection of the public defense administrator and public defense attorneys.</w:t>
      </w:r>
      <w:r w:rsidR="00B735B1" w:rsidRPr="00B735B1" w:rsidDel="00E406C1">
        <w:rPr>
          <w:rFonts w:ascii="Times New Roman" w:hAnsi="Times New Roman"/>
          <w:b/>
          <w:sz w:val="24"/>
          <w:szCs w:val="24"/>
          <w:u w:val="single"/>
        </w:rPr>
        <w:t xml:space="preserve"> </w:t>
      </w:r>
      <w:r w:rsidR="00B735B1" w:rsidRPr="00B735B1">
        <w:rPr>
          <w:rFonts w:ascii="Times New Roman" w:hAnsi="Times New Roman"/>
          <w:sz w:val="24"/>
          <w:szCs w:val="24"/>
          <w:u w:val="single"/>
        </w:rPr>
        <w:t>Judges and judicial staff in superior courts and courts of limited jurisdiction shall not select public defense administrators or the attorneys who provide public defense services</w:t>
      </w:r>
      <w:r w:rsidR="00B735B1" w:rsidRPr="00B735B1">
        <w:rPr>
          <w:rFonts w:ascii="Times New Roman" w:hAnsi="Times New Roman"/>
          <w:color w:val="0070C0"/>
          <w:sz w:val="24"/>
          <w:szCs w:val="24"/>
          <w:u w:val="single"/>
        </w:rPr>
        <w:t xml:space="preserve">. </w:t>
      </w:r>
    </w:p>
    <w:p w:rsidR="00B735B1" w:rsidRPr="00B735B1" w:rsidRDefault="00B735B1" w:rsidP="00885DDF">
      <w:pPr>
        <w:pStyle w:val="ListParagraph"/>
        <w:spacing w:line="240" w:lineRule="auto"/>
        <w:ind w:left="0"/>
        <w:rPr>
          <w:rFonts w:ascii="Times New Roman" w:hAnsi="Times New Roman"/>
          <w:sz w:val="24"/>
          <w:szCs w:val="24"/>
          <w:u w:val="single"/>
        </w:rPr>
      </w:pPr>
    </w:p>
    <w:p w:rsidR="00B735B1" w:rsidRPr="00B735B1" w:rsidRDefault="00B05C5F"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b/>
          <w:bCs/>
          <w:sz w:val="24"/>
          <w:szCs w:val="24"/>
          <w:u w:val="single"/>
        </w:rPr>
        <w:t xml:space="preserve">(d) </w:t>
      </w:r>
      <w:r w:rsidR="00B735B1" w:rsidRPr="00B735B1">
        <w:rPr>
          <w:rFonts w:ascii="Times New Roman" w:hAnsi="Times New Roman"/>
          <w:b/>
          <w:bCs/>
          <w:sz w:val="24"/>
          <w:szCs w:val="24"/>
          <w:u w:val="single"/>
        </w:rPr>
        <w:t xml:space="preserve">Management and oversight of public defense services. </w:t>
      </w:r>
    </w:p>
    <w:p w:rsidR="00B735B1" w:rsidRPr="00885DDF" w:rsidRDefault="00B735B1" w:rsidP="00885DDF">
      <w:pPr>
        <w:pStyle w:val="ListParagraph"/>
        <w:spacing w:line="240" w:lineRule="auto"/>
        <w:ind w:left="0"/>
        <w:rPr>
          <w:rFonts w:ascii="Times New Roman" w:hAnsi="Times New Roman"/>
          <w:bCs/>
          <w:strike/>
          <w:color w:val="0070C0"/>
          <w:sz w:val="24"/>
          <w:szCs w:val="24"/>
        </w:rPr>
      </w:pPr>
    </w:p>
    <w:p w:rsidR="00B735B1" w:rsidRPr="00B735B1" w:rsidRDefault="00B05C5F"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sz w:val="24"/>
          <w:szCs w:val="24"/>
          <w:u w:val="single"/>
        </w:rPr>
        <w:t xml:space="preserve">(1) </w:t>
      </w:r>
      <w:r w:rsidR="00B735B1" w:rsidRPr="00B735B1">
        <w:rPr>
          <w:rFonts w:ascii="Times New Roman" w:hAnsi="Times New Roman"/>
          <w:sz w:val="24"/>
          <w:szCs w:val="24"/>
          <w:u w:val="single"/>
        </w:rPr>
        <w:t xml:space="preserve">Judges and judicial staff in superior courts and courts of limited jurisdiction shall neither manage nor oversee public defense services, including public defense contracts and assigned counsel lists. Judges should encourage local governments to have attorneys with public defense experience manage and oversee public defense services.  </w:t>
      </w:r>
    </w:p>
    <w:p w:rsidR="00B735B1" w:rsidRPr="00B735B1" w:rsidRDefault="00B735B1" w:rsidP="00B05C5F">
      <w:pPr>
        <w:pStyle w:val="ListParagraph"/>
        <w:spacing w:line="276" w:lineRule="auto"/>
        <w:ind w:left="0" w:firstLine="720"/>
        <w:rPr>
          <w:rFonts w:ascii="Times New Roman" w:hAnsi="Times New Roman"/>
          <w:sz w:val="24"/>
          <w:szCs w:val="24"/>
          <w:u w:val="single"/>
        </w:rPr>
      </w:pPr>
    </w:p>
    <w:p w:rsidR="00B735B1" w:rsidRPr="00B735B1" w:rsidRDefault="00B05C5F"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sz w:val="24"/>
          <w:szCs w:val="24"/>
          <w:u w:val="single"/>
        </w:rPr>
        <w:t xml:space="preserve">(2) </w:t>
      </w:r>
      <w:r w:rsidR="00B735B1" w:rsidRPr="00B735B1">
        <w:rPr>
          <w:rFonts w:ascii="Times New Roman" w:hAnsi="Times New Roman"/>
          <w:sz w:val="24"/>
          <w:szCs w:val="24"/>
          <w:u w:val="single"/>
        </w:rPr>
        <w:t>The terms “</w:t>
      </w:r>
      <w:r w:rsidR="00B735B1" w:rsidRPr="00B735B1">
        <w:rPr>
          <w:rFonts w:ascii="Times New Roman" w:eastAsia="Times New Roman" w:hAnsi="Times New Roman"/>
          <w:sz w:val="24"/>
          <w:szCs w:val="24"/>
          <w:u w:val="single"/>
        </w:rPr>
        <w:t xml:space="preserve">manage” and “oversee” include: drafting, awarding, renewing, and terminating public defense contracts; adding attorneys or removing them from assigned counsel lists; developing or issuing case weighting policies; monitoring attorney caseload limits and case-level qualifications; monitoring compliance with contracts, policies, procedures and standards; and recommending compensation. </w:t>
      </w:r>
    </w:p>
    <w:p w:rsidR="00B735B1" w:rsidRPr="00B735B1" w:rsidRDefault="00B735B1" w:rsidP="00885DDF">
      <w:pPr>
        <w:pStyle w:val="ListParagraph"/>
        <w:spacing w:line="240" w:lineRule="auto"/>
        <w:ind w:left="0"/>
        <w:rPr>
          <w:rFonts w:ascii="Times New Roman" w:hAnsi="Times New Roman"/>
          <w:sz w:val="24"/>
          <w:szCs w:val="24"/>
          <w:u w:val="single"/>
        </w:rPr>
      </w:pPr>
    </w:p>
    <w:p w:rsidR="00B735B1" w:rsidRPr="00B735B1" w:rsidRDefault="00B05C5F"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b/>
          <w:sz w:val="24"/>
          <w:szCs w:val="24"/>
          <w:u w:val="single"/>
        </w:rPr>
        <w:t xml:space="preserve">(e) </w:t>
      </w:r>
      <w:r w:rsidR="00B735B1" w:rsidRPr="00B735B1">
        <w:rPr>
          <w:rFonts w:ascii="Times New Roman" w:hAnsi="Times New Roman"/>
          <w:b/>
          <w:sz w:val="24"/>
          <w:szCs w:val="24"/>
          <w:u w:val="single"/>
        </w:rPr>
        <w:t>Assignment of public defense attorneys in individual cases.</w:t>
      </w:r>
      <w:r w:rsidR="00B735B1" w:rsidRPr="00B735B1">
        <w:rPr>
          <w:rFonts w:ascii="Times New Roman" w:hAnsi="Times New Roman"/>
          <w:sz w:val="24"/>
          <w:szCs w:val="24"/>
          <w:u w:val="single"/>
        </w:rPr>
        <w:t xml:space="preserve"> </w:t>
      </w:r>
    </w:p>
    <w:p w:rsidR="00B735B1" w:rsidRPr="00B735B1" w:rsidRDefault="00B735B1" w:rsidP="00B05C5F">
      <w:pPr>
        <w:pStyle w:val="ListParagraph"/>
        <w:spacing w:line="276" w:lineRule="auto"/>
        <w:ind w:left="0"/>
        <w:rPr>
          <w:rFonts w:ascii="Times New Roman" w:hAnsi="Times New Roman"/>
          <w:sz w:val="24"/>
          <w:szCs w:val="24"/>
          <w:u w:val="single"/>
        </w:rPr>
      </w:pPr>
    </w:p>
    <w:p w:rsidR="00B735B1" w:rsidRPr="00B735B1" w:rsidRDefault="00B05C5F"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sz w:val="24"/>
          <w:szCs w:val="24"/>
          <w:u w:val="single"/>
        </w:rPr>
        <w:t xml:space="preserve">(1) </w:t>
      </w:r>
      <w:r w:rsidR="00B735B1" w:rsidRPr="00B735B1">
        <w:rPr>
          <w:rFonts w:ascii="Times New Roman" w:hAnsi="Times New Roman"/>
          <w:sz w:val="24"/>
          <w:szCs w:val="24"/>
          <w:u w:val="single"/>
        </w:rPr>
        <w:t xml:space="preserve">Consistent with federal and state constitutions, applicable statutes and rules of court, the role of judges and their staff in the assignment of a specific attorney in an individual case is to: a) determine whether a party is eligible for appointment of counsel by making a finding of </w:t>
      </w:r>
      <w:proofErr w:type="spellStart"/>
      <w:r w:rsidR="00B735B1" w:rsidRPr="00B735B1">
        <w:rPr>
          <w:rFonts w:ascii="Times New Roman" w:hAnsi="Times New Roman"/>
          <w:sz w:val="24"/>
          <w:szCs w:val="24"/>
          <w:u w:val="single"/>
        </w:rPr>
        <w:t>indigency</w:t>
      </w:r>
      <w:proofErr w:type="spellEnd"/>
      <w:r w:rsidR="00B735B1" w:rsidRPr="00B735B1">
        <w:rPr>
          <w:rFonts w:ascii="Times New Roman" w:hAnsi="Times New Roman"/>
          <w:sz w:val="24"/>
          <w:szCs w:val="24"/>
          <w:u w:val="single"/>
        </w:rPr>
        <w:t xml:space="preserve"> or other finding that a party is entitled to counsel; or b) refer the party for an </w:t>
      </w:r>
      <w:proofErr w:type="spellStart"/>
      <w:r w:rsidR="00B735B1" w:rsidRPr="00B735B1">
        <w:rPr>
          <w:rFonts w:ascii="Times New Roman" w:hAnsi="Times New Roman"/>
          <w:sz w:val="24"/>
          <w:szCs w:val="24"/>
          <w:u w:val="single"/>
        </w:rPr>
        <w:t>indigency</w:t>
      </w:r>
      <w:proofErr w:type="spellEnd"/>
      <w:r w:rsidR="00B735B1" w:rsidRPr="00B735B1">
        <w:rPr>
          <w:rFonts w:ascii="Times New Roman" w:hAnsi="Times New Roman"/>
          <w:sz w:val="24"/>
          <w:szCs w:val="24"/>
          <w:u w:val="single"/>
        </w:rPr>
        <w:t xml:space="preserve"> determination; and c) refer the party to a public defense agency or a public defense administrator to designate a qualified attorney. Alternatively, a public defense administrator may, prior to a </w:t>
      </w:r>
      <w:r w:rsidR="00B735B1" w:rsidRPr="00B735B1">
        <w:rPr>
          <w:rFonts w:ascii="Times New Roman" w:hAnsi="Times New Roman"/>
          <w:sz w:val="24"/>
          <w:szCs w:val="24"/>
          <w:u w:val="single"/>
        </w:rPr>
        <w:lastRenderedPageBreak/>
        <w:t xml:space="preserve">court hearing where eligibility is determined, designate a qualified attorney to be appointed if the court finds the party is eligible. </w:t>
      </w:r>
    </w:p>
    <w:p w:rsidR="00B735B1" w:rsidRPr="00B735B1" w:rsidRDefault="00B735B1" w:rsidP="00B05C5F">
      <w:pPr>
        <w:pStyle w:val="ListParagraph"/>
        <w:spacing w:line="276" w:lineRule="auto"/>
        <w:ind w:left="0" w:firstLine="720"/>
        <w:rPr>
          <w:rFonts w:ascii="Times New Roman" w:hAnsi="Times New Roman"/>
          <w:sz w:val="24"/>
          <w:szCs w:val="24"/>
          <w:u w:val="single"/>
        </w:rPr>
      </w:pPr>
    </w:p>
    <w:p w:rsidR="00B735B1" w:rsidRPr="00B735B1" w:rsidRDefault="00B05C5F" w:rsidP="00B05C5F">
      <w:pPr>
        <w:pStyle w:val="ListParagraph"/>
        <w:spacing w:after="160" w:line="276" w:lineRule="auto"/>
        <w:ind w:left="0" w:firstLine="720"/>
        <w:rPr>
          <w:rFonts w:ascii="Times New Roman" w:hAnsi="Times New Roman"/>
          <w:sz w:val="24"/>
          <w:szCs w:val="24"/>
          <w:u w:val="single"/>
        </w:rPr>
      </w:pPr>
      <w:bookmarkStart w:id="0" w:name="_Hlk65567926"/>
      <w:r>
        <w:rPr>
          <w:rFonts w:ascii="Times New Roman" w:hAnsi="Times New Roman"/>
          <w:sz w:val="24"/>
          <w:szCs w:val="24"/>
          <w:u w:val="single"/>
        </w:rPr>
        <w:t xml:space="preserve">(2) </w:t>
      </w:r>
      <w:r w:rsidR="00B735B1" w:rsidRPr="00B735B1">
        <w:rPr>
          <w:rFonts w:ascii="Times New Roman" w:hAnsi="Times New Roman"/>
          <w:sz w:val="24"/>
          <w:szCs w:val="24"/>
          <w:u w:val="single"/>
        </w:rPr>
        <w:t>If there is no public defense agency or administrator, a judicial officer should appoint a qualified attorney, on a rotating basis, from an independently established list of assigned counsel or contractors.</w:t>
      </w:r>
    </w:p>
    <w:bookmarkEnd w:id="0"/>
    <w:p w:rsidR="00B735B1" w:rsidRPr="00B735B1" w:rsidRDefault="00B735B1" w:rsidP="00885DDF">
      <w:pPr>
        <w:pStyle w:val="ListParagraph"/>
        <w:spacing w:line="240" w:lineRule="auto"/>
        <w:ind w:left="0" w:firstLine="720"/>
        <w:rPr>
          <w:rFonts w:ascii="Times New Roman" w:hAnsi="Times New Roman"/>
          <w:sz w:val="24"/>
          <w:szCs w:val="24"/>
          <w:u w:val="single"/>
        </w:rPr>
      </w:pPr>
    </w:p>
    <w:p w:rsidR="00B735B1" w:rsidRPr="00B735B1" w:rsidRDefault="00B05C5F" w:rsidP="00B05C5F">
      <w:pPr>
        <w:pStyle w:val="ListParagraph"/>
        <w:spacing w:after="160" w:line="276" w:lineRule="auto"/>
        <w:ind w:left="0" w:firstLine="720"/>
        <w:rPr>
          <w:rFonts w:ascii="Times New Roman" w:hAnsi="Times New Roman"/>
          <w:sz w:val="24"/>
          <w:szCs w:val="24"/>
          <w:u w:val="single"/>
        </w:rPr>
      </w:pPr>
      <w:r>
        <w:rPr>
          <w:rFonts w:ascii="Times New Roman" w:hAnsi="Times New Roman"/>
          <w:sz w:val="24"/>
          <w:szCs w:val="24"/>
          <w:u w:val="single"/>
        </w:rPr>
        <w:t xml:space="preserve">(3) </w:t>
      </w:r>
      <w:r w:rsidR="00B735B1" w:rsidRPr="00B735B1">
        <w:rPr>
          <w:rFonts w:ascii="Times New Roman" w:hAnsi="Times New Roman"/>
          <w:sz w:val="24"/>
          <w:szCs w:val="24"/>
          <w:u w:val="single"/>
        </w:rPr>
        <w:t>If no qualified attorney on the list is available, a judicial officer shall</w:t>
      </w:r>
      <w:r w:rsidR="00B735B1" w:rsidRPr="00B735B1">
        <w:rPr>
          <w:rFonts w:ascii="Times New Roman" w:hAnsi="Times New Roman"/>
          <w:b/>
          <w:bCs/>
          <w:color w:val="0070C0"/>
          <w:sz w:val="24"/>
          <w:szCs w:val="24"/>
          <w:u w:val="single"/>
        </w:rPr>
        <w:t xml:space="preserve"> </w:t>
      </w:r>
      <w:r w:rsidR="00B735B1" w:rsidRPr="00B735B1">
        <w:rPr>
          <w:rFonts w:ascii="Times New Roman" w:hAnsi="Times New Roman"/>
          <w:sz w:val="24"/>
          <w:szCs w:val="24"/>
          <w:u w:val="single"/>
        </w:rPr>
        <w:t>appoint an attorney who meets the qualifications in the Supreme Court Standards for Indigent Defense.</w:t>
      </w:r>
    </w:p>
    <w:p w:rsidR="00B735B1" w:rsidRPr="00B735B1" w:rsidRDefault="00B735B1" w:rsidP="00885DDF">
      <w:pPr>
        <w:pStyle w:val="ListParagraph"/>
        <w:spacing w:line="240" w:lineRule="auto"/>
        <w:ind w:left="0"/>
        <w:rPr>
          <w:rFonts w:ascii="Times New Roman" w:hAnsi="Times New Roman"/>
          <w:sz w:val="24"/>
          <w:szCs w:val="24"/>
          <w:u w:val="single"/>
        </w:rPr>
      </w:pPr>
    </w:p>
    <w:p w:rsidR="00B735B1" w:rsidRPr="00B735B1" w:rsidRDefault="00B05C5F" w:rsidP="00B05C5F">
      <w:pPr>
        <w:pStyle w:val="ListParagraph"/>
        <w:widowControl w:val="0"/>
        <w:spacing w:after="160" w:line="276" w:lineRule="auto"/>
        <w:ind w:left="0" w:firstLine="720"/>
        <w:rPr>
          <w:rFonts w:ascii="Times New Roman" w:hAnsi="Times New Roman"/>
          <w:sz w:val="24"/>
          <w:szCs w:val="24"/>
          <w:u w:val="single"/>
        </w:rPr>
      </w:pPr>
      <w:r>
        <w:rPr>
          <w:rFonts w:ascii="Times New Roman" w:hAnsi="Times New Roman"/>
          <w:b/>
          <w:sz w:val="24"/>
          <w:szCs w:val="24"/>
          <w:u w:val="single"/>
        </w:rPr>
        <w:t xml:space="preserve">(f) </w:t>
      </w:r>
      <w:r w:rsidR="00B735B1" w:rsidRPr="00B735B1">
        <w:rPr>
          <w:rFonts w:ascii="Times New Roman" w:hAnsi="Times New Roman"/>
          <w:b/>
          <w:sz w:val="24"/>
          <w:szCs w:val="24"/>
          <w:u w:val="single"/>
        </w:rPr>
        <w:t>Necessary services and substitution of counsel.</w:t>
      </w:r>
      <w:r w:rsidR="00B735B1" w:rsidRPr="00B735B1">
        <w:rPr>
          <w:rFonts w:ascii="Times New Roman" w:hAnsi="Times New Roman"/>
          <w:sz w:val="24"/>
          <w:szCs w:val="24"/>
          <w:u w:val="single"/>
        </w:rPr>
        <w:t xml:space="preserve"> This rule does not limit a judicial officer’s authority to grant a motion for necessary investigative, expert, or other services, or to appoint counsel in individual cases when substitution of counsel is required or requested. Substitution of counsel should be made as provided in (e) above. </w:t>
      </w:r>
    </w:p>
    <w:p w:rsidR="00B735B1" w:rsidRPr="00B735B1" w:rsidRDefault="00B735B1" w:rsidP="00B05C5F">
      <w:pPr>
        <w:pStyle w:val="ListParagraph"/>
        <w:widowControl w:val="0"/>
        <w:spacing w:line="276" w:lineRule="auto"/>
        <w:ind w:left="0"/>
        <w:rPr>
          <w:rFonts w:ascii="Times New Roman" w:hAnsi="Times New Roman"/>
          <w:sz w:val="24"/>
          <w:szCs w:val="24"/>
          <w:u w:val="single"/>
        </w:rPr>
      </w:pPr>
    </w:p>
    <w:p w:rsidR="00B735B1" w:rsidRPr="00B735B1" w:rsidRDefault="00B05C5F" w:rsidP="00B05C5F">
      <w:pPr>
        <w:pStyle w:val="ListParagraph"/>
        <w:widowControl w:val="0"/>
        <w:spacing w:after="160" w:line="276" w:lineRule="auto"/>
        <w:ind w:left="0" w:firstLine="720"/>
        <w:rPr>
          <w:rFonts w:ascii="Times New Roman" w:hAnsi="Times New Roman"/>
          <w:sz w:val="24"/>
          <w:szCs w:val="24"/>
          <w:u w:val="single"/>
        </w:rPr>
      </w:pPr>
      <w:r>
        <w:rPr>
          <w:rFonts w:ascii="Times New Roman" w:hAnsi="Times New Roman"/>
          <w:b/>
          <w:bCs/>
          <w:sz w:val="24"/>
          <w:szCs w:val="24"/>
          <w:u w:val="single"/>
        </w:rPr>
        <w:t xml:space="preserve">(g) </w:t>
      </w:r>
      <w:r w:rsidR="00B735B1" w:rsidRPr="00B735B1">
        <w:rPr>
          <w:rFonts w:ascii="Times New Roman" w:hAnsi="Times New Roman"/>
          <w:b/>
          <w:bCs/>
          <w:sz w:val="24"/>
          <w:szCs w:val="24"/>
          <w:u w:val="single"/>
        </w:rPr>
        <w:t xml:space="preserve">Effective Date of Rule. </w:t>
      </w:r>
      <w:r w:rsidR="00B735B1" w:rsidRPr="00B735B1">
        <w:rPr>
          <w:rFonts w:ascii="Times New Roman" w:hAnsi="Times New Roman"/>
          <w:sz w:val="24"/>
          <w:szCs w:val="24"/>
          <w:u w:val="single"/>
        </w:rPr>
        <w:t>This rule will go into effect</w:t>
      </w:r>
      <w:r w:rsidR="00676E07">
        <w:rPr>
          <w:rFonts w:ascii="Times New Roman" w:hAnsi="Times New Roman"/>
          <w:sz w:val="24"/>
          <w:szCs w:val="24"/>
          <w:u w:val="single"/>
        </w:rPr>
        <w:t xml:space="preserve"> </w:t>
      </w:r>
      <w:r w:rsidR="00676E07">
        <w:rPr>
          <w:rFonts w:ascii="Times New Roman" w:hAnsi="Times New Roman"/>
          <w:sz w:val="24"/>
          <w:szCs w:val="24"/>
          <w:u w:val="single"/>
        </w:rPr>
        <w:tab/>
      </w:r>
      <w:bookmarkStart w:id="1" w:name="_GoBack"/>
      <w:bookmarkEnd w:id="1"/>
      <w:r w:rsidR="00B735B1" w:rsidRPr="00B735B1">
        <w:rPr>
          <w:rFonts w:ascii="Times New Roman" w:hAnsi="Times New Roman"/>
          <w:sz w:val="24"/>
          <w:szCs w:val="24"/>
          <w:u w:val="single"/>
        </w:rPr>
        <w:t>days after its adoption by the Supreme Court.</w:t>
      </w:r>
    </w:p>
    <w:p w:rsidR="00B735B1" w:rsidRDefault="00B735B1" w:rsidP="00B05C5F">
      <w:pPr>
        <w:widowControl w:val="0"/>
        <w:spacing w:line="276" w:lineRule="auto"/>
        <w:jc w:val="center"/>
        <w:rPr>
          <w:u w:val="single"/>
        </w:rPr>
      </w:pPr>
      <w:r w:rsidRPr="00B735B1">
        <w:rPr>
          <w:u w:val="single"/>
        </w:rPr>
        <w:t>Comment</w:t>
      </w:r>
    </w:p>
    <w:p w:rsidR="00885DDF" w:rsidRPr="00B735B1" w:rsidRDefault="00885DDF" w:rsidP="00B05C5F">
      <w:pPr>
        <w:widowControl w:val="0"/>
        <w:spacing w:line="276" w:lineRule="auto"/>
        <w:jc w:val="center"/>
        <w:rPr>
          <w:u w:val="single"/>
        </w:rPr>
      </w:pPr>
    </w:p>
    <w:p w:rsidR="00B735B1" w:rsidRPr="00B735B1" w:rsidRDefault="00B05C5F" w:rsidP="00B05C5F">
      <w:pPr>
        <w:pStyle w:val="ListParagraph"/>
        <w:spacing w:after="160" w:line="259" w:lineRule="auto"/>
        <w:ind w:left="0" w:firstLine="720"/>
        <w:rPr>
          <w:rFonts w:ascii="Times New Roman" w:hAnsi="Times New Roman"/>
          <w:sz w:val="24"/>
          <w:szCs w:val="24"/>
          <w:u w:val="single"/>
        </w:rPr>
      </w:pPr>
      <w:r>
        <w:rPr>
          <w:rFonts w:ascii="Times New Roman" w:hAnsi="Times New Roman"/>
          <w:sz w:val="24"/>
          <w:szCs w:val="24"/>
          <w:u w:val="single"/>
        </w:rPr>
        <w:t xml:space="preserve">[1] </w:t>
      </w:r>
      <w:r w:rsidR="00B735B1" w:rsidRPr="00B735B1">
        <w:rPr>
          <w:rFonts w:ascii="Times New Roman" w:hAnsi="Times New Roman"/>
          <w:sz w:val="24"/>
          <w:szCs w:val="24"/>
          <w:u w:val="single"/>
        </w:rPr>
        <w:t xml:space="preserve">This rule does not alter judges’ obligation to ensure that public defense attorneys have certified their compliance with the Supreme Court’s Standards for Indigent Defense.  </w:t>
      </w:r>
    </w:p>
    <w:p w:rsidR="00B735B1" w:rsidRPr="00B735B1" w:rsidRDefault="00B735B1" w:rsidP="00885DDF">
      <w:pPr>
        <w:pStyle w:val="ListParagraph"/>
        <w:spacing w:line="240" w:lineRule="auto"/>
        <w:ind w:left="0"/>
        <w:rPr>
          <w:rFonts w:ascii="Times New Roman" w:hAnsi="Times New Roman"/>
          <w:sz w:val="24"/>
          <w:szCs w:val="24"/>
          <w:u w:val="single"/>
        </w:rPr>
      </w:pPr>
    </w:p>
    <w:p w:rsidR="00B735B1" w:rsidRPr="00B735B1" w:rsidRDefault="00B05C5F" w:rsidP="00B05C5F">
      <w:pPr>
        <w:pStyle w:val="ListParagraph"/>
        <w:widowControl w:val="0"/>
        <w:spacing w:after="160" w:line="276" w:lineRule="auto"/>
        <w:ind w:left="0" w:firstLine="720"/>
        <w:rPr>
          <w:rFonts w:ascii="Times New Roman" w:hAnsi="Times New Roman"/>
          <w:sz w:val="24"/>
          <w:szCs w:val="24"/>
          <w:u w:val="single"/>
        </w:rPr>
      </w:pPr>
      <w:r>
        <w:rPr>
          <w:rFonts w:ascii="Times New Roman" w:hAnsi="Times New Roman"/>
          <w:sz w:val="24"/>
          <w:szCs w:val="24"/>
          <w:u w:val="single"/>
        </w:rPr>
        <w:t xml:space="preserve">[2] </w:t>
      </w:r>
      <w:r w:rsidR="00B735B1" w:rsidRPr="00B735B1">
        <w:rPr>
          <w:rFonts w:ascii="Times New Roman" w:hAnsi="Times New Roman"/>
          <w:sz w:val="24"/>
          <w:szCs w:val="24"/>
          <w:u w:val="single"/>
        </w:rPr>
        <w:t xml:space="preserve">This rule does not preclude judges from communicating information about a public defense attorney’s performance to the public defense agency or administrator. Following such communication, judges shall have no role in determining what actions, if any, the public defense agency or administrator takes in response to that communication.  </w:t>
      </w:r>
    </w:p>
    <w:p w:rsidR="00B735B1" w:rsidRPr="00B735B1" w:rsidRDefault="00B735B1" w:rsidP="00885DDF">
      <w:pPr>
        <w:pStyle w:val="ListParagraph"/>
        <w:spacing w:line="240" w:lineRule="auto"/>
        <w:ind w:left="0"/>
        <w:rPr>
          <w:rFonts w:ascii="Times New Roman" w:hAnsi="Times New Roman"/>
          <w:sz w:val="24"/>
          <w:szCs w:val="24"/>
          <w:u w:val="single"/>
        </w:rPr>
      </w:pPr>
    </w:p>
    <w:p w:rsidR="00B735B1" w:rsidRPr="00B735B1" w:rsidRDefault="00B05C5F" w:rsidP="00B05C5F">
      <w:pPr>
        <w:pStyle w:val="ListParagraph"/>
        <w:widowControl w:val="0"/>
        <w:spacing w:line="276" w:lineRule="auto"/>
        <w:ind w:left="0" w:firstLine="720"/>
        <w:rPr>
          <w:rFonts w:ascii="Times New Roman" w:hAnsi="Times New Roman"/>
          <w:sz w:val="24"/>
          <w:szCs w:val="24"/>
          <w:u w:val="single"/>
        </w:rPr>
      </w:pPr>
      <w:r>
        <w:rPr>
          <w:rFonts w:ascii="Times New Roman" w:hAnsi="Times New Roman"/>
          <w:sz w:val="24"/>
          <w:szCs w:val="24"/>
          <w:u w:val="single"/>
        </w:rPr>
        <w:t xml:space="preserve">[3] </w:t>
      </w:r>
      <w:r w:rsidR="00B735B1" w:rsidRPr="00B735B1">
        <w:rPr>
          <w:rFonts w:ascii="Times New Roman" w:hAnsi="Times New Roman"/>
          <w:sz w:val="24"/>
          <w:szCs w:val="24"/>
          <w:u w:val="single"/>
        </w:rPr>
        <w:t xml:space="preserve">This rule does not preclude judges from providing information on an attorney’s performance, in response to requests from public defense agencies or administrators, requests from the Washington State Bar Association, and for example, requests for information made by a judicial candidate evaluation committee. </w:t>
      </w:r>
    </w:p>
    <w:p w:rsidR="00B735B1" w:rsidRPr="00B735B1" w:rsidRDefault="00B735B1" w:rsidP="00885DDF">
      <w:pPr>
        <w:pStyle w:val="ListParagraph"/>
        <w:spacing w:line="240" w:lineRule="auto"/>
        <w:ind w:left="0"/>
        <w:rPr>
          <w:rFonts w:ascii="Times New Roman" w:hAnsi="Times New Roman"/>
          <w:sz w:val="24"/>
          <w:szCs w:val="24"/>
        </w:rPr>
      </w:pPr>
    </w:p>
    <w:sectPr w:rsidR="00B735B1" w:rsidRPr="00B735B1" w:rsidSect="00B735B1">
      <w:headerReference w:type="default" r:id="rId5"/>
      <w:footerReference w:type="default" r:id="rId6"/>
      <w:headerReference w:type="first" r:id="rId7"/>
      <w:footerReference w:type="first" r:id="rId8"/>
      <w:pgSz w:w="12240" w:h="15840" w:code="1"/>
      <w:pgMar w:top="1440" w:right="1440" w:bottom="1440" w:left="1440" w:header="720" w:footer="360" w:gutter="0"/>
      <w:pgNumType w:fmt="numberInDash"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31" w:rsidRPr="00961172" w:rsidRDefault="00676E07">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31" w:rsidRPr="003E3FD2" w:rsidRDefault="00676E07">
    <w:pPr>
      <w:pStyle w:val="Footer"/>
      <w:jc w:val="center"/>
      <w:rPr>
        <w:sz w:val="20"/>
        <w:szCs w:val="20"/>
      </w:rPr>
    </w:pPr>
    <w:r w:rsidRPr="003E3FD2">
      <w:rPr>
        <w:rStyle w:val="PageNumber"/>
        <w:sz w:val="20"/>
        <w:szCs w:val="20"/>
      </w:rPr>
      <w:fldChar w:fldCharType="begin"/>
    </w:r>
    <w:r w:rsidRPr="003E3FD2">
      <w:rPr>
        <w:rStyle w:val="PageNumber"/>
        <w:sz w:val="20"/>
        <w:szCs w:val="20"/>
      </w:rPr>
      <w:instrText xml:space="preserve"> PAGE </w:instrText>
    </w:r>
    <w:r w:rsidRPr="003E3FD2">
      <w:rPr>
        <w:rStyle w:val="PageNumber"/>
        <w:sz w:val="20"/>
        <w:szCs w:val="20"/>
      </w:rPr>
      <w:fldChar w:fldCharType="separate"/>
    </w:r>
    <w:r>
      <w:rPr>
        <w:rStyle w:val="PageNumber"/>
        <w:noProof/>
        <w:sz w:val="20"/>
        <w:szCs w:val="20"/>
      </w:rPr>
      <w:t>- 1 -</w:t>
    </w:r>
    <w:r w:rsidRPr="003E3FD2">
      <w:rPr>
        <w:rStyle w:val="PageNumber"/>
        <w:sz w:val="20"/>
        <w:szCs w:val="20"/>
      </w:rPr>
      <w:fldChar w:fldCharType="end"/>
    </w:r>
    <w:r w:rsidRPr="003E3FD2">
      <w:rPr>
        <w:rStyle w:val="PageNumber"/>
        <w:sz w:val="20"/>
        <w:szCs w:val="20"/>
      </w:rPr>
      <w:t xml:space="preserve"> </w:t>
    </w:r>
  </w:p>
  <w:p w:rsidR="000E4931" w:rsidRPr="003E3FD2" w:rsidRDefault="00676E07">
    <w:pPr>
      <w:pStyle w:val="Footer"/>
      <w:pBdr>
        <w:top w:val="single" w:sz="4" w:space="1" w:color="auto"/>
      </w:pBdr>
      <w:jc w:val="center"/>
      <w:rPr>
        <w:sz w:val="20"/>
        <w:szCs w:val="20"/>
      </w:rPr>
    </w:pPr>
    <w:r w:rsidRPr="003E3FD2">
      <w:rPr>
        <w:sz w:val="20"/>
        <w:szCs w:val="20"/>
      </w:rPr>
      <w:t>CROSS-DEFENDANTS’ DEMURRER TO CROSS-CLAIMANT’S COMPLAINT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31" w:rsidRDefault="00676E07">
    <w:pPr>
      <w:pStyle w:val="Header"/>
      <w:tabs>
        <w:tab w:val="clear" w:pos="4680"/>
        <w:tab w:val="clear" w:pos="9360"/>
        <w:tab w:val="center" w:pos="4800"/>
        <w:tab w:val="right" w:pos="9600"/>
      </w:tabs>
      <w:spacing w:line="48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31" w:rsidRDefault="00676E07">
    <w:pPr>
      <w:pStyle w:val="TOCTitle"/>
    </w:pPr>
  </w:p>
  <w:p w:rsidR="000E4931" w:rsidRDefault="00B735B1">
    <w:pPr>
      <w:pStyle w:val="Header"/>
      <w:tabs>
        <w:tab w:val="clear" w:pos="4680"/>
        <w:tab w:val="clear" w:pos="9360"/>
        <w:tab w:val="center" w:pos="4800"/>
        <w:tab w:val="right" w:pos="9600"/>
      </w:tabs>
      <w:spacing w:line="480" w:lineRule="exact"/>
    </w:pPr>
    <w:r>
      <w:rPr>
        <w:noProof/>
      </w:rPr>
      <mc:AlternateContent>
        <mc:Choice Requires="wps">
          <w:drawing>
            <wp:anchor distT="0" distB="0" distL="114300" distR="114300" simplePos="0" relativeHeight="251666432" behindDoc="0" locked="0" layoutInCell="1" allowOverlap="1">
              <wp:simplePos x="0" y="0"/>
              <wp:positionH relativeFrom="margin">
                <wp:posOffset>-598805</wp:posOffset>
              </wp:positionH>
              <wp:positionV relativeFrom="margin">
                <wp:posOffset>0</wp:posOffset>
              </wp:positionV>
              <wp:extent cx="457200" cy="8503920"/>
              <wp:effectExtent l="127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0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931" w:rsidRDefault="00676E07">
                          <w:pPr>
                            <w:spacing w:line="480" w:lineRule="exact"/>
                            <w:jc w:val="right"/>
                          </w:pPr>
                          <w:r>
                            <w:t>1</w:t>
                          </w:r>
                        </w:p>
                        <w:p w:rsidR="000E4931" w:rsidRDefault="00676E07">
                          <w:pPr>
                            <w:spacing w:line="480" w:lineRule="exact"/>
                            <w:jc w:val="right"/>
                          </w:pPr>
                          <w:r>
                            <w:t>2</w:t>
                          </w:r>
                        </w:p>
                        <w:p w:rsidR="000E4931" w:rsidRDefault="00676E07">
                          <w:pPr>
                            <w:spacing w:line="480" w:lineRule="exact"/>
                            <w:jc w:val="right"/>
                          </w:pPr>
                          <w:r>
                            <w:t>3</w:t>
                          </w:r>
                        </w:p>
                        <w:p w:rsidR="000E4931" w:rsidRDefault="00676E07">
                          <w:pPr>
                            <w:spacing w:line="480" w:lineRule="exact"/>
                            <w:jc w:val="right"/>
                          </w:pPr>
                          <w:r>
                            <w:t>4</w:t>
                          </w:r>
                        </w:p>
                        <w:p w:rsidR="000E4931" w:rsidRDefault="00676E07">
                          <w:pPr>
                            <w:spacing w:line="480" w:lineRule="exact"/>
                            <w:jc w:val="right"/>
                          </w:pPr>
                          <w:r>
                            <w:t>5</w:t>
                          </w:r>
                        </w:p>
                        <w:p w:rsidR="000E4931" w:rsidRDefault="00676E07">
                          <w:pPr>
                            <w:spacing w:line="480" w:lineRule="exact"/>
                            <w:jc w:val="right"/>
                          </w:pPr>
                          <w:r>
                            <w:t>6</w:t>
                          </w:r>
                        </w:p>
                        <w:p w:rsidR="000E4931" w:rsidRDefault="00676E07">
                          <w:pPr>
                            <w:spacing w:line="480" w:lineRule="exact"/>
                            <w:jc w:val="right"/>
                          </w:pPr>
                          <w:r>
                            <w:t>7</w:t>
                          </w:r>
                        </w:p>
                        <w:p w:rsidR="000E4931" w:rsidRDefault="00676E07">
                          <w:pPr>
                            <w:spacing w:line="480" w:lineRule="exact"/>
                            <w:jc w:val="right"/>
                          </w:pPr>
                          <w:r>
                            <w:t>8</w:t>
                          </w:r>
                        </w:p>
                        <w:p w:rsidR="000E4931" w:rsidRDefault="00676E07">
                          <w:pPr>
                            <w:spacing w:line="480" w:lineRule="exact"/>
                            <w:jc w:val="right"/>
                          </w:pPr>
                          <w:r>
                            <w:t>9</w:t>
                          </w:r>
                        </w:p>
                        <w:p w:rsidR="000E4931" w:rsidRDefault="00676E07">
                          <w:pPr>
                            <w:spacing w:line="480" w:lineRule="exact"/>
                            <w:jc w:val="right"/>
                          </w:pPr>
                          <w:r>
                            <w:t>10</w:t>
                          </w:r>
                        </w:p>
                        <w:p w:rsidR="000E4931" w:rsidRDefault="00676E07">
                          <w:pPr>
                            <w:spacing w:line="480" w:lineRule="exact"/>
                            <w:jc w:val="right"/>
                          </w:pPr>
                          <w:r>
                            <w:t>11</w:t>
                          </w:r>
                        </w:p>
                        <w:p w:rsidR="000E4931" w:rsidRDefault="00676E07">
                          <w:pPr>
                            <w:spacing w:line="480" w:lineRule="exact"/>
                            <w:jc w:val="right"/>
                          </w:pPr>
                          <w:r>
                            <w:t>12</w:t>
                          </w:r>
                        </w:p>
                        <w:p w:rsidR="000E4931" w:rsidRDefault="00676E07">
                          <w:pPr>
                            <w:spacing w:line="480" w:lineRule="exact"/>
                            <w:jc w:val="right"/>
                          </w:pPr>
                          <w:r>
                            <w:t>13</w:t>
                          </w:r>
                        </w:p>
                        <w:p w:rsidR="000E4931" w:rsidRDefault="00676E07">
                          <w:pPr>
                            <w:spacing w:line="480" w:lineRule="exact"/>
                            <w:jc w:val="right"/>
                          </w:pPr>
                          <w:r>
                            <w:t>14</w:t>
                          </w:r>
                        </w:p>
                        <w:p w:rsidR="000E4931" w:rsidRDefault="00676E07">
                          <w:pPr>
                            <w:spacing w:line="480" w:lineRule="exact"/>
                            <w:jc w:val="right"/>
                          </w:pPr>
                          <w:r>
                            <w:t>15</w:t>
                          </w:r>
                        </w:p>
                        <w:p w:rsidR="000E4931" w:rsidRDefault="00676E07">
                          <w:pPr>
                            <w:spacing w:line="480" w:lineRule="exact"/>
                            <w:jc w:val="right"/>
                          </w:pPr>
                          <w:r>
                            <w:t>16</w:t>
                          </w:r>
                        </w:p>
                        <w:p w:rsidR="000E4931" w:rsidRDefault="00676E07">
                          <w:pPr>
                            <w:spacing w:line="480" w:lineRule="exact"/>
                            <w:jc w:val="right"/>
                          </w:pPr>
                          <w:r>
                            <w:t>17</w:t>
                          </w:r>
                        </w:p>
                        <w:p w:rsidR="000E4931" w:rsidRDefault="00676E07">
                          <w:pPr>
                            <w:spacing w:line="480" w:lineRule="exact"/>
                            <w:jc w:val="right"/>
                          </w:pPr>
                          <w:r>
                            <w:t>18</w:t>
                          </w:r>
                        </w:p>
                        <w:p w:rsidR="000E4931" w:rsidRDefault="00676E07">
                          <w:pPr>
                            <w:spacing w:line="480" w:lineRule="exact"/>
                            <w:jc w:val="right"/>
                          </w:pPr>
                          <w:r>
                            <w:t>19</w:t>
                          </w:r>
                        </w:p>
                        <w:p w:rsidR="000E4931" w:rsidRDefault="00676E07">
                          <w:pPr>
                            <w:spacing w:line="480" w:lineRule="exact"/>
                            <w:jc w:val="right"/>
                          </w:pPr>
                          <w:r>
                            <w:t>20</w:t>
                          </w:r>
                        </w:p>
                        <w:p w:rsidR="000E4931" w:rsidRDefault="00676E07">
                          <w:pPr>
                            <w:spacing w:line="480" w:lineRule="exact"/>
                            <w:jc w:val="right"/>
                          </w:pPr>
                          <w:r>
                            <w:t>21</w:t>
                          </w:r>
                        </w:p>
                        <w:p w:rsidR="000E4931" w:rsidRDefault="00676E07">
                          <w:pPr>
                            <w:spacing w:line="480" w:lineRule="exact"/>
                            <w:jc w:val="right"/>
                          </w:pPr>
                          <w:r>
                            <w:t>22</w:t>
                          </w:r>
                        </w:p>
                        <w:p w:rsidR="000E4931" w:rsidRDefault="00676E07">
                          <w:pPr>
                            <w:spacing w:line="480" w:lineRule="exact"/>
                            <w:jc w:val="right"/>
                          </w:pPr>
                          <w:r>
                            <w:t>23</w:t>
                          </w:r>
                        </w:p>
                        <w:p w:rsidR="000E4931" w:rsidRDefault="00676E07">
                          <w:pPr>
                            <w:spacing w:line="480" w:lineRule="exact"/>
                            <w:jc w:val="right"/>
                          </w:pPr>
                          <w:r>
                            <w:t>24</w:t>
                          </w:r>
                        </w:p>
                        <w:p w:rsidR="000E4931" w:rsidRDefault="00676E07">
                          <w:pPr>
                            <w:spacing w:line="480" w:lineRule="exact"/>
                            <w:jc w:val="right"/>
                          </w:pPr>
                          <w:r>
                            <w:t>25</w:t>
                          </w:r>
                        </w:p>
                        <w:p w:rsidR="000E4931" w:rsidRDefault="00676E07">
                          <w:pPr>
                            <w:spacing w:line="480" w:lineRule="exact"/>
                            <w:jc w:val="right"/>
                          </w:pPr>
                          <w:r>
                            <w:t>26</w:t>
                          </w:r>
                        </w:p>
                        <w:p w:rsidR="000E4931" w:rsidRDefault="00676E07">
                          <w:pPr>
                            <w:spacing w:line="480" w:lineRule="exact"/>
                            <w:jc w:val="right"/>
                          </w:pPr>
                          <w:r>
                            <w:t>27</w:t>
                          </w:r>
                        </w:p>
                        <w:p w:rsidR="000E4931" w:rsidRDefault="00676E07">
                          <w:pPr>
                            <w:spacing w:line="480" w:lineRule="exact"/>
                            <w:jc w:val="right"/>
                          </w:pPr>
                          <w:r>
                            <w:t>28</w:t>
                          </w:r>
                        </w:p>
                        <w:p w:rsidR="000E4931" w:rsidRDefault="00676E07">
                          <w:pPr>
                            <w:spacing w:line="480"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7.15pt;margin-top:0;width:36pt;height:66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" stroked="f">
              <v:textbox inset="0,0,0,0">
                <w:txbxContent>
                  <w:p w:rsidR="000E4931" w:rsidRDefault="00676E07">
                    <w:pPr>
                      <w:spacing w:line="480" w:lineRule="exact"/>
                      <w:jc w:val="right"/>
                    </w:pPr>
                    <w:r>
                      <w:t>1</w:t>
                    </w:r>
                  </w:p>
                  <w:p w:rsidR="000E4931" w:rsidRDefault="00676E07">
                    <w:pPr>
                      <w:spacing w:line="480" w:lineRule="exact"/>
                      <w:jc w:val="right"/>
                    </w:pPr>
                    <w:r>
                      <w:t>2</w:t>
                    </w:r>
                  </w:p>
                  <w:p w:rsidR="000E4931" w:rsidRDefault="00676E07">
                    <w:pPr>
                      <w:spacing w:line="480" w:lineRule="exact"/>
                      <w:jc w:val="right"/>
                    </w:pPr>
                    <w:r>
                      <w:t>3</w:t>
                    </w:r>
                  </w:p>
                  <w:p w:rsidR="000E4931" w:rsidRDefault="00676E07">
                    <w:pPr>
                      <w:spacing w:line="480" w:lineRule="exact"/>
                      <w:jc w:val="right"/>
                    </w:pPr>
                    <w:r>
                      <w:t>4</w:t>
                    </w:r>
                  </w:p>
                  <w:p w:rsidR="000E4931" w:rsidRDefault="00676E07">
                    <w:pPr>
                      <w:spacing w:line="480" w:lineRule="exact"/>
                      <w:jc w:val="right"/>
                    </w:pPr>
                    <w:r>
                      <w:t>5</w:t>
                    </w:r>
                  </w:p>
                  <w:p w:rsidR="000E4931" w:rsidRDefault="00676E07">
                    <w:pPr>
                      <w:spacing w:line="480" w:lineRule="exact"/>
                      <w:jc w:val="right"/>
                    </w:pPr>
                    <w:r>
                      <w:t>6</w:t>
                    </w:r>
                  </w:p>
                  <w:p w:rsidR="000E4931" w:rsidRDefault="00676E07">
                    <w:pPr>
                      <w:spacing w:line="480" w:lineRule="exact"/>
                      <w:jc w:val="right"/>
                    </w:pPr>
                    <w:r>
                      <w:t>7</w:t>
                    </w:r>
                  </w:p>
                  <w:p w:rsidR="000E4931" w:rsidRDefault="00676E07">
                    <w:pPr>
                      <w:spacing w:line="480" w:lineRule="exact"/>
                      <w:jc w:val="right"/>
                    </w:pPr>
                    <w:r>
                      <w:t>8</w:t>
                    </w:r>
                  </w:p>
                  <w:p w:rsidR="000E4931" w:rsidRDefault="00676E07">
                    <w:pPr>
                      <w:spacing w:line="480" w:lineRule="exact"/>
                      <w:jc w:val="right"/>
                    </w:pPr>
                    <w:r>
                      <w:t>9</w:t>
                    </w:r>
                  </w:p>
                  <w:p w:rsidR="000E4931" w:rsidRDefault="00676E07">
                    <w:pPr>
                      <w:spacing w:line="480" w:lineRule="exact"/>
                      <w:jc w:val="right"/>
                    </w:pPr>
                    <w:r>
                      <w:t>10</w:t>
                    </w:r>
                  </w:p>
                  <w:p w:rsidR="000E4931" w:rsidRDefault="00676E07">
                    <w:pPr>
                      <w:spacing w:line="480" w:lineRule="exact"/>
                      <w:jc w:val="right"/>
                    </w:pPr>
                    <w:r>
                      <w:t>11</w:t>
                    </w:r>
                  </w:p>
                  <w:p w:rsidR="000E4931" w:rsidRDefault="00676E07">
                    <w:pPr>
                      <w:spacing w:line="480" w:lineRule="exact"/>
                      <w:jc w:val="right"/>
                    </w:pPr>
                    <w:r>
                      <w:t>12</w:t>
                    </w:r>
                  </w:p>
                  <w:p w:rsidR="000E4931" w:rsidRDefault="00676E07">
                    <w:pPr>
                      <w:spacing w:line="480" w:lineRule="exact"/>
                      <w:jc w:val="right"/>
                    </w:pPr>
                    <w:r>
                      <w:t>13</w:t>
                    </w:r>
                  </w:p>
                  <w:p w:rsidR="000E4931" w:rsidRDefault="00676E07">
                    <w:pPr>
                      <w:spacing w:line="480" w:lineRule="exact"/>
                      <w:jc w:val="right"/>
                    </w:pPr>
                    <w:r>
                      <w:t>14</w:t>
                    </w:r>
                  </w:p>
                  <w:p w:rsidR="000E4931" w:rsidRDefault="00676E07">
                    <w:pPr>
                      <w:spacing w:line="480" w:lineRule="exact"/>
                      <w:jc w:val="right"/>
                    </w:pPr>
                    <w:r>
                      <w:t>15</w:t>
                    </w:r>
                  </w:p>
                  <w:p w:rsidR="000E4931" w:rsidRDefault="00676E07">
                    <w:pPr>
                      <w:spacing w:line="480" w:lineRule="exact"/>
                      <w:jc w:val="right"/>
                    </w:pPr>
                    <w:r>
                      <w:t>16</w:t>
                    </w:r>
                  </w:p>
                  <w:p w:rsidR="000E4931" w:rsidRDefault="00676E07">
                    <w:pPr>
                      <w:spacing w:line="480" w:lineRule="exact"/>
                      <w:jc w:val="right"/>
                    </w:pPr>
                    <w:r>
                      <w:t>17</w:t>
                    </w:r>
                  </w:p>
                  <w:p w:rsidR="000E4931" w:rsidRDefault="00676E07">
                    <w:pPr>
                      <w:spacing w:line="480" w:lineRule="exact"/>
                      <w:jc w:val="right"/>
                    </w:pPr>
                    <w:r>
                      <w:t>18</w:t>
                    </w:r>
                  </w:p>
                  <w:p w:rsidR="000E4931" w:rsidRDefault="00676E07">
                    <w:pPr>
                      <w:spacing w:line="480" w:lineRule="exact"/>
                      <w:jc w:val="right"/>
                    </w:pPr>
                    <w:r>
                      <w:t>19</w:t>
                    </w:r>
                  </w:p>
                  <w:p w:rsidR="000E4931" w:rsidRDefault="00676E07">
                    <w:pPr>
                      <w:spacing w:line="480" w:lineRule="exact"/>
                      <w:jc w:val="right"/>
                    </w:pPr>
                    <w:r>
                      <w:t>20</w:t>
                    </w:r>
                  </w:p>
                  <w:p w:rsidR="000E4931" w:rsidRDefault="00676E07">
                    <w:pPr>
                      <w:spacing w:line="480" w:lineRule="exact"/>
                      <w:jc w:val="right"/>
                    </w:pPr>
                    <w:r>
                      <w:t>21</w:t>
                    </w:r>
                  </w:p>
                  <w:p w:rsidR="000E4931" w:rsidRDefault="00676E07">
                    <w:pPr>
                      <w:spacing w:line="480" w:lineRule="exact"/>
                      <w:jc w:val="right"/>
                    </w:pPr>
                    <w:r>
                      <w:t>22</w:t>
                    </w:r>
                  </w:p>
                  <w:p w:rsidR="000E4931" w:rsidRDefault="00676E07">
                    <w:pPr>
                      <w:spacing w:line="480" w:lineRule="exact"/>
                      <w:jc w:val="right"/>
                    </w:pPr>
                    <w:r>
                      <w:t>23</w:t>
                    </w:r>
                  </w:p>
                  <w:p w:rsidR="000E4931" w:rsidRDefault="00676E07">
                    <w:pPr>
                      <w:spacing w:line="480" w:lineRule="exact"/>
                      <w:jc w:val="right"/>
                    </w:pPr>
                    <w:r>
                      <w:t>24</w:t>
                    </w:r>
                  </w:p>
                  <w:p w:rsidR="000E4931" w:rsidRDefault="00676E07">
                    <w:pPr>
                      <w:spacing w:line="480" w:lineRule="exact"/>
                      <w:jc w:val="right"/>
                    </w:pPr>
                    <w:r>
                      <w:t>25</w:t>
                    </w:r>
                  </w:p>
                  <w:p w:rsidR="000E4931" w:rsidRDefault="00676E07">
                    <w:pPr>
                      <w:spacing w:line="480" w:lineRule="exact"/>
                      <w:jc w:val="right"/>
                    </w:pPr>
                    <w:r>
                      <w:t>26</w:t>
                    </w:r>
                  </w:p>
                  <w:p w:rsidR="000E4931" w:rsidRDefault="00676E07">
                    <w:pPr>
                      <w:spacing w:line="480" w:lineRule="exact"/>
                      <w:jc w:val="right"/>
                    </w:pPr>
                    <w:r>
                      <w:t>27</w:t>
                    </w:r>
                  </w:p>
                  <w:p w:rsidR="000E4931" w:rsidRDefault="00676E07">
                    <w:pPr>
                      <w:spacing w:line="480" w:lineRule="exact"/>
                      <w:jc w:val="right"/>
                    </w:pPr>
                    <w:r>
                      <w:t>28</w:t>
                    </w:r>
                  </w:p>
                  <w:p w:rsidR="000E4931" w:rsidRDefault="00676E07">
                    <w:pPr>
                      <w:spacing w:line="480" w:lineRule="exact"/>
                      <w:jc w:val="right"/>
                    </w:pP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-74930</wp:posOffset>
              </wp:positionH>
              <wp:positionV relativeFrom="page">
                <wp:posOffset>0</wp:posOffset>
              </wp:positionV>
              <wp:extent cx="0" cy="10058400"/>
              <wp:effectExtent l="10795" t="9525" r="825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7033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6174740</wp:posOffset>
              </wp:positionH>
              <wp:positionV relativeFrom="page">
                <wp:posOffset>0</wp:posOffset>
              </wp:positionV>
              <wp:extent cx="0" cy="10058400"/>
              <wp:effectExtent l="1206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BB2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6.2pt,0" to="486.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2C6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00F"/>
    <w:multiLevelType w:val="hybridMultilevel"/>
    <w:tmpl w:val="8CE8162A"/>
    <w:lvl w:ilvl="0" w:tplc="9644409C">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7A08"/>
    <w:multiLevelType w:val="hybridMultilevel"/>
    <w:tmpl w:val="D3B0834E"/>
    <w:lvl w:ilvl="0" w:tplc="E146DB2A">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D22A0"/>
    <w:multiLevelType w:val="hybridMultilevel"/>
    <w:tmpl w:val="96BC57C6"/>
    <w:lvl w:ilvl="0" w:tplc="ABE88F50">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63E5C"/>
    <w:multiLevelType w:val="hybridMultilevel"/>
    <w:tmpl w:val="633EC8D6"/>
    <w:lvl w:ilvl="0" w:tplc="48E26398">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B1"/>
    <w:rsid w:val="00676E07"/>
    <w:rsid w:val="00683864"/>
    <w:rsid w:val="00885DDF"/>
    <w:rsid w:val="00B05C5F"/>
    <w:rsid w:val="00B735B1"/>
    <w:rsid w:val="00E0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615D70B-5333-4BF4-9621-15FAADA1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B1"/>
    <w:pPr>
      <w:spacing w:after="0" w:line="240" w:lineRule="exac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735B1"/>
  </w:style>
  <w:style w:type="paragraph" w:customStyle="1" w:styleId="TOCTitle">
    <w:name w:val="TOC Title"/>
    <w:basedOn w:val="Normal"/>
    <w:next w:val="Normal"/>
    <w:rsid w:val="00B735B1"/>
    <w:pPr>
      <w:keepNext/>
      <w:spacing w:after="240"/>
      <w:jc w:val="center"/>
    </w:pPr>
    <w:rPr>
      <w:b/>
      <w:caps/>
    </w:rPr>
  </w:style>
  <w:style w:type="paragraph" w:styleId="Footer">
    <w:name w:val="footer"/>
    <w:basedOn w:val="Normal"/>
    <w:link w:val="FooterChar"/>
    <w:rsid w:val="00B735B1"/>
    <w:pPr>
      <w:tabs>
        <w:tab w:val="center" w:pos="4680"/>
        <w:tab w:val="right" w:pos="9360"/>
      </w:tabs>
      <w:spacing w:line="240" w:lineRule="auto"/>
    </w:pPr>
  </w:style>
  <w:style w:type="character" w:customStyle="1" w:styleId="FooterChar">
    <w:name w:val="Footer Char"/>
    <w:basedOn w:val="DefaultParagraphFont"/>
    <w:link w:val="Footer"/>
    <w:rsid w:val="00B735B1"/>
    <w:rPr>
      <w:rFonts w:ascii="Times New Roman" w:eastAsia="Times New Roman" w:hAnsi="Times New Roman" w:cs="Times New Roman"/>
      <w:sz w:val="24"/>
      <w:szCs w:val="24"/>
    </w:rPr>
  </w:style>
  <w:style w:type="paragraph" w:styleId="Header">
    <w:name w:val="header"/>
    <w:basedOn w:val="Normal"/>
    <w:link w:val="HeaderChar"/>
    <w:rsid w:val="00B735B1"/>
    <w:pPr>
      <w:tabs>
        <w:tab w:val="center" w:pos="4680"/>
        <w:tab w:val="right" w:pos="9360"/>
      </w:tabs>
    </w:pPr>
  </w:style>
  <w:style w:type="character" w:customStyle="1" w:styleId="HeaderChar">
    <w:name w:val="Header Char"/>
    <w:basedOn w:val="DefaultParagraphFont"/>
    <w:link w:val="Header"/>
    <w:rsid w:val="00B735B1"/>
    <w:rPr>
      <w:rFonts w:ascii="Times New Roman" w:eastAsia="Times New Roman" w:hAnsi="Times New Roman" w:cs="Times New Roman"/>
      <w:sz w:val="24"/>
      <w:szCs w:val="24"/>
    </w:rPr>
  </w:style>
  <w:style w:type="paragraph" w:styleId="ListParagraph">
    <w:name w:val="List Paragraph"/>
    <w:basedOn w:val="Normal"/>
    <w:uiPriority w:val="34"/>
    <w:qFormat/>
    <w:rsid w:val="00B735B1"/>
    <w:pPr>
      <w:spacing w:line="480" w:lineRule="auto"/>
      <w:ind w:left="720" w:firstLine="547"/>
      <w:contextualSpacing/>
    </w:pPr>
    <w:rPr>
      <w:rFonts w:ascii="Calibri" w:eastAsia="Calibri" w:hAnsi="Calibri"/>
      <w:sz w:val="22"/>
      <w:szCs w:val="22"/>
    </w:rPr>
  </w:style>
  <w:style w:type="paragraph" w:styleId="NoSpacing">
    <w:name w:val="No Spacing"/>
    <w:uiPriority w:val="1"/>
    <w:qFormat/>
    <w:rsid w:val="00B735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2022-01-28T21:26:00Z</dcterms:created>
  <dcterms:modified xsi:type="dcterms:W3CDTF">2022-01-28T21:52:00Z</dcterms:modified>
</cp:coreProperties>
</file>